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Содержание спецкурса</w:t>
      </w:r>
      <w:r w:rsidRPr="006104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«Актуальные проблемы методики обучения химии в школьном курсе»</w:t>
      </w:r>
      <w:r w:rsidRPr="006104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Раздел I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«Содержание школьного курса химии и его вариативность».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  <w:u w:val="single"/>
        </w:rPr>
        <w:t>Тематика раздела:</w:t>
      </w:r>
    </w:p>
    <w:p w:rsidR="00610407" w:rsidRPr="00610407" w:rsidRDefault="00610407" w:rsidP="006104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Дидактические требования к содержанию курса химии.</w:t>
      </w:r>
    </w:p>
    <w:p w:rsidR="00610407" w:rsidRPr="00610407" w:rsidRDefault="00610407" w:rsidP="006104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Основные дидактические единицы курса химии.</w:t>
      </w:r>
    </w:p>
    <w:p w:rsidR="00610407" w:rsidRPr="00610407" w:rsidRDefault="00610407" w:rsidP="006104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Способы построения курса химии.</w:t>
      </w:r>
    </w:p>
    <w:p w:rsidR="00610407" w:rsidRPr="00610407" w:rsidRDefault="00610407" w:rsidP="006104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Пропедевтические курсы химии.</w:t>
      </w:r>
    </w:p>
    <w:p w:rsidR="00610407" w:rsidRPr="00610407" w:rsidRDefault="00610407" w:rsidP="006104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Построение систематических курсов химии.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К химическому содержанию предъявляется ряд дидактических требований (принципов), которые необходимо соблюдать для успешного обучения учащихся. Это </w:t>
      </w:r>
      <w:r w:rsidRPr="00610407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научность</w:t>
      </w:r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 (отражение реальных процессов и веществ, связей между ними, отсутствие химических ошибок). Научность может быть достигнута тогда, когда учащиеся знакомятся не только с готовыми выводами, но и с методами, которыми они получены. </w:t>
      </w:r>
      <w:r w:rsidRPr="00610407">
        <w:rPr>
          <w:rFonts w:ascii="Times New Roman" w:eastAsia="Times New Roman" w:hAnsi="Times New Roman" w:cs="Times New Roman"/>
          <w:i/>
          <w:iCs/>
          <w:sz w:val="24"/>
          <w:szCs w:val="24"/>
        </w:rPr>
        <w:t>Доступность</w:t>
      </w:r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числом </w:t>
      </w:r>
      <w:proofErr w:type="spellStart"/>
      <w:r w:rsidRPr="00610407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 связей изучаемого материала </w:t>
      </w:r>
      <w:proofErr w:type="gramStart"/>
      <w:r w:rsidRPr="0061040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 уже изученным. Например, нельзя объяснить гибридизацию </w:t>
      </w:r>
      <w:proofErr w:type="spellStart"/>
      <w:r w:rsidRPr="00610407">
        <w:rPr>
          <w:rFonts w:ascii="Times New Roman" w:eastAsia="Times New Roman" w:hAnsi="Times New Roman" w:cs="Times New Roman"/>
          <w:sz w:val="24"/>
          <w:szCs w:val="24"/>
        </w:rPr>
        <w:t>орбиталей</w:t>
      </w:r>
      <w:proofErr w:type="spellEnd"/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, если неизвестна теория строения атома. Нельзя понять сущность электролиза без знания окислительно-восстановительных реакций. Кроме того, доступность ограничивается и принципом </w:t>
      </w:r>
      <w:r w:rsidRPr="00610407">
        <w:rPr>
          <w:rFonts w:ascii="Times New Roman" w:eastAsia="Times New Roman" w:hAnsi="Times New Roman" w:cs="Times New Roman"/>
          <w:i/>
          <w:iCs/>
          <w:sz w:val="24"/>
          <w:szCs w:val="24"/>
        </w:rPr>
        <w:t>учёта возрастных особенностей</w:t>
      </w:r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 учащихся. Ещё два важных принципа – </w:t>
      </w:r>
      <w:r w:rsidRPr="00610407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системность и систематичность</w:t>
      </w:r>
      <w:r w:rsidRPr="006104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Системность очень близка к научности. Понятие «система» характеризуется как целостное единство взаимосвязанных компонентов. Требование системности предполагает отражение в сознании учащихся основных компонентов изучаемой науки. Любая система обладает структурой. Учитель обязан чётко представлять себе структуру каждого понятия, каждой теории, взаимосвязь структурных элементов.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Систематичность определяет последовательность изучения учебного материала, развитие понятий. При реализации принципа систематичности нужно учитывать закономерности процесса незнания, движение </w:t>
      </w:r>
      <w:proofErr w:type="gramStart"/>
      <w:r w:rsidRPr="0061040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 известного к неизвестному, от простого к сложному.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При систематическом построении материала возможны два логических подхода – индуктивный и дедуктивный. </w:t>
      </w:r>
      <w:proofErr w:type="gramStart"/>
      <w:r w:rsidRPr="00610407">
        <w:rPr>
          <w:rFonts w:ascii="Times New Roman" w:eastAsia="Times New Roman" w:hAnsi="Times New Roman" w:cs="Times New Roman"/>
          <w:sz w:val="24"/>
          <w:szCs w:val="24"/>
        </w:rPr>
        <w:t>Индуктивный</w:t>
      </w:r>
      <w:proofErr w:type="gramEnd"/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 – когда отсутствует база фактов, необходимая для теоретических обобщений, а дедуктивный – когда теоретическая база достаточна и может осуществляться прогнозирование.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Связь с жизнью, с практикой </w:t>
      </w:r>
      <w:r w:rsidRPr="00610407">
        <w:rPr>
          <w:rFonts w:ascii="Times New Roman" w:eastAsia="Times New Roman" w:hAnsi="Times New Roman" w:cs="Times New Roman"/>
          <w:sz w:val="24"/>
          <w:szCs w:val="24"/>
        </w:rPr>
        <w:t>– это принцип, обеспечивающий мотивацию обучения, носит прикладной характер.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Особое значение имеет </w:t>
      </w:r>
      <w:r w:rsidRPr="006104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историзма, </w:t>
      </w:r>
      <w:r w:rsidRPr="00610407">
        <w:rPr>
          <w:rFonts w:ascii="Times New Roman" w:eastAsia="Times New Roman" w:hAnsi="Times New Roman" w:cs="Times New Roman"/>
          <w:sz w:val="24"/>
          <w:szCs w:val="24"/>
        </w:rPr>
        <w:t>который способствует реализации логики науки в учебном процессе.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lastRenderedPageBreak/>
        <w:t>Дидактический материал курса объединён в несколько групп.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i/>
          <w:iCs/>
          <w:sz w:val="24"/>
          <w:szCs w:val="24"/>
        </w:rPr>
        <w:t>I группа</w:t>
      </w:r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 – это теории (атомно-молекулярная теория, теории строения атома и строения вещества, учение о периодичности, теория электролитической диссоциации, современная теория строения органических веществ). 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i/>
          <w:iCs/>
          <w:sz w:val="24"/>
          <w:szCs w:val="24"/>
        </w:rPr>
        <w:t>II группа</w:t>
      </w:r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 – это законы (закон сохранения и превращения энергии, закон постоянства состава, закон Авогадро, закон сохранения массы веществ и др.) 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i/>
          <w:iCs/>
          <w:sz w:val="24"/>
          <w:szCs w:val="24"/>
        </w:rPr>
        <w:t>III группа</w:t>
      </w:r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 – это химические понятия, каждое из которых представляет сложную систему более мелких понятий. Таких систем понятий в школьном курсе химии четыре: вещество, химическая реакция, химический элемент и основы химического производства. 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i/>
          <w:iCs/>
          <w:sz w:val="24"/>
          <w:szCs w:val="24"/>
        </w:rPr>
        <w:t>IV группа</w:t>
      </w:r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 - это методы химической науки. Заметьте, имеются в виду не методы обучения химии, а методы исследования, используемые в химической науке, способствующие научным открытиям и созданию химических теорий.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i/>
          <w:iCs/>
          <w:sz w:val="24"/>
          <w:szCs w:val="24"/>
        </w:rPr>
        <w:t>V группа</w:t>
      </w:r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 – это факты. Факты обнаруживаются посредством эксперимента или наблюдения за натуральными объектами. Факты можно узнать от учителя, прочитать в учебнике или взять из других источников. 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i/>
          <w:iCs/>
          <w:sz w:val="24"/>
          <w:szCs w:val="24"/>
        </w:rPr>
        <w:t>VI группа</w:t>
      </w:r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 – творческое наследие выдающихся учёных.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Построение курса химии может быть различно. 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Рассмотрим схему «Различие в построении курсов химии»: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Курс химии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7"/>
        <w:gridCol w:w="4728"/>
      </w:tblGrid>
      <w:tr w:rsidR="00610407" w:rsidRPr="00610407" w:rsidTr="00610407">
        <w:trPr>
          <w:tblCellSpacing w:w="15" w:type="dxa"/>
        </w:trPr>
        <w:tc>
          <w:tcPr>
            <w:tcW w:w="472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Несистематический</w:t>
            </w:r>
          </w:p>
        </w:tc>
        <w:tc>
          <w:tcPr>
            <w:tcW w:w="4740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Систематический</w:t>
            </w:r>
          </w:p>
        </w:tc>
      </w:tr>
      <w:tr w:rsidR="00610407" w:rsidRPr="00610407" w:rsidTr="00610407">
        <w:trPr>
          <w:tblCellSpacing w:w="15" w:type="dxa"/>
        </w:trPr>
        <w:tc>
          <w:tcPr>
            <w:tcW w:w="472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740" w:type="dxa"/>
            <w:vMerge w:val="restart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объекту изучения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  <w:proofErr w:type="spellEnd"/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Органическая Неорганическая 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  <w:proofErr w:type="spellStart"/>
            <w:proofErr w:type="gramStart"/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spellEnd"/>
            <w:proofErr w:type="gramEnd"/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 </w:t>
            </w:r>
            <w:proofErr w:type="spellStart"/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End"/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Вещество Общая химия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 </w:t>
            </w:r>
            <w:proofErr w:type="spellStart"/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End"/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Химическая по </w:t>
            </w:r>
            <w:proofErr w:type="spellStart"/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</w:t>
            </w:r>
            <w:proofErr w:type="spellEnd"/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реакция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образующему фактору</w:t>
            </w:r>
          </w:p>
        </w:tc>
      </w:tr>
      <w:tr w:rsidR="00610407" w:rsidRPr="00610407" w:rsidTr="00610407">
        <w:trPr>
          <w:trHeight w:val="315"/>
          <w:tblCellSpacing w:w="15" w:type="dxa"/>
        </w:trPr>
        <w:tc>
          <w:tcPr>
            <w:tcW w:w="472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Пропедевтический курс</w:t>
            </w:r>
          </w:p>
        </w:tc>
        <w:tc>
          <w:tcPr>
            <w:tcW w:w="0" w:type="auto"/>
            <w:vMerge/>
            <w:hideMark/>
          </w:tcPr>
          <w:p w:rsidR="00610407" w:rsidRPr="00610407" w:rsidRDefault="00610407" w:rsidP="0061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07" w:rsidRPr="00610407" w:rsidTr="00610407">
        <w:trPr>
          <w:trHeight w:val="15"/>
          <w:tblCellSpacing w:w="15" w:type="dxa"/>
        </w:trPr>
        <w:tc>
          <w:tcPr>
            <w:tcW w:w="472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Несистематический курс </w:t>
            </w:r>
            <w:proofErr w:type="gramStart"/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0407" w:rsidRPr="00610407" w:rsidRDefault="00610407" w:rsidP="0061040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гуманитариев</w:t>
            </w:r>
          </w:p>
        </w:tc>
        <w:tc>
          <w:tcPr>
            <w:tcW w:w="0" w:type="auto"/>
            <w:vMerge/>
            <w:hideMark/>
          </w:tcPr>
          <w:p w:rsidR="00610407" w:rsidRPr="00610407" w:rsidRDefault="00610407" w:rsidP="0061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Рассмотрим, чем отличаются друг от друга указанные в схеме принципы построения.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несистематических курсов является то, что в них не отражается логика науки и не обеспечено развитие понятий. Обычно эти курсы ограничиваются реализацией формальной логики и руководствуются в основном прикладным содержанием и </w:t>
      </w:r>
      <w:proofErr w:type="spellStart"/>
      <w:r w:rsidRPr="00610407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 связями. Некоторые из них носят интегративный характер. Например, естествознание включает сведения из разных естественных наук – физики, химии, биологии, географии. Понятно, что логике какой-то одной науки такой предмет подчиняться не может.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Среди несистематических курсов следует выделить пропедевтические курсы, которые вводятся в учебный процесс в 7-м классе. Пропедевтические курсы, которые пока ещё не регламентированы учебным планом по времени, несут на себе печать ярко выраженных творческих поисков методистов.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Г. М. </w:t>
      </w:r>
      <w:proofErr w:type="spellStart"/>
      <w:r w:rsidRPr="00610407">
        <w:rPr>
          <w:rFonts w:ascii="Times New Roman" w:eastAsia="Times New Roman" w:hAnsi="Times New Roman" w:cs="Times New Roman"/>
          <w:sz w:val="24"/>
          <w:szCs w:val="24"/>
        </w:rPr>
        <w:t>Чернобельской</w:t>
      </w:r>
      <w:proofErr w:type="spellEnd"/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 и А. И. Дементьевым разработан и издан учебник для 7-го класса «Введение в химию. Мир глазами химика». Учебник содержит пять глав, которые можно разделить на две группы. Первые три главы знакомят учащихся с кругом научных вопросов, которые решает химия: зачем и как изучают вещества, почему и как протекают химические реакции, некоторые элементы </w:t>
      </w:r>
      <w:proofErr w:type="spellStart"/>
      <w:r w:rsidRPr="00610407">
        <w:rPr>
          <w:rFonts w:ascii="Times New Roman" w:eastAsia="Times New Roman" w:hAnsi="Times New Roman" w:cs="Times New Roman"/>
          <w:sz w:val="24"/>
          <w:szCs w:val="24"/>
        </w:rPr>
        <w:t>препаративной</w:t>
      </w:r>
      <w:proofErr w:type="spellEnd"/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 химии, техники 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лабораторных работ, техники безопасности при работах по химии.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При этом рассмотрена энергетическая сторона химических реакций, без которой не может быть современного понимания химии. Большое внимание уделяется химическому эксперименту, т. к. главная задача пропедевтического курса – пробудить устойчивый интерес к химии, раскрыть её образ.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В курс не включены расчёты, составление химических формул и уравнений, а также формирование теоретических понятий. Практика показывает, что для данного возрастного контингента этот материал резко снижает интерес, поэтому целесообразнее </w:t>
      </w:r>
      <w:proofErr w:type="gramStart"/>
      <w:r w:rsidRPr="00610407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 целиком перевести в 8-й класс.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Главы 4 и 5 носят чисто прикладной характер. В главе 4 «Химия и планета Земля» в занимательной форме рассматриваются вещества и процессы, окружающие человека в природной среде. Это химия атмосферы и гидросферы, земной коры и биосферы. Не забыты и представления о вреде курения, алкоголя, наркотиков. Говорится об экономии природных ресурсов, о полезных ископаемых. Глава 5 «Химия и наш дом» посвящена химии, которая окружает ученика в быту. Здесь химия питания и лекарственных веществ, бытовая химия, в том числе парфюмерия и косметика, и даже химия в искусстве.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Систематические курсы химии могут быть построены по-разному, в зависимости от того, какой </w:t>
      </w:r>
      <w:proofErr w:type="spellStart"/>
      <w:r w:rsidRPr="00610407">
        <w:rPr>
          <w:rFonts w:ascii="Times New Roman" w:eastAsia="Times New Roman" w:hAnsi="Times New Roman" w:cs="Times New Roman"/>
          <w:sz w:val="24"/>
          <w:szCs w:val="24"/>
        </w:rPr>
        <w:t>системообразующий</w:t>
      </w:r>
      <w:proofErr w:type="spellEnd"/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 фактор положен в основу формирования курса (</w:t>
      </w:r>
      <w:proofErr w:type="gramStart"/>
      <w:r w:rsidRPr="00610407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. схему «Различие в построении курсов химии»). Это может быть либо система понятий о веществе, либо система понятий о химической реакции. 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любом систематическом курсе химии все компоненты системы понятий о веществе находят своё развитее. Если какой-то из компонентов не раскрывается, это следует считать недостатком курса. Такой компонент называют образно «тупиковым понятием». Его надо либо исключить, либо учителю приходится самому дополнять содержание. 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Заметим, что школьный курс органической химии чаще всего строится с ориентацией на формирование и развитие системы понятий о веществе.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Система понятий о химическом элементе включает следующие блоки:</w:t>
      </w:r>
    </w:p>
    <w:p w:rsidR="00610407" w:rsidRPr="00610407" w:rsidRDefault="00610407" w:rsidP="006104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атомы химических элементов;</w:t>
      </w:r>
    </w:p>
    <w:p w:rsidR="00610407" w:rsidRPr="00610407" w:rsidRDefault="00610407" w:rsidP="006104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распространённость и круговорот элементов в природе;</w:t>
      </w:r>
    </w:p>
    <w:p w:rsidR="00610407" w:rsidRPr="00610407" w:rsidRDefault="00610407" w:rsidP="006104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классификация химических элементов.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Система понятий о химической реакции включает следующие </w:t>
      </w:r>
      <w:proofErr w:type="gramEnd"/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компоненты:</w:t>
      </w:r>
    </w:p>
    <w:p w:rsidR="00610407" w:rsidRPr="00610407" w:rsidRDefault="00610407" w:rsidP="0061040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признаки, сущность и механизмы химических реакций;</w:t>
      </w:r>
    </w:p>
    <w:p w:rsidR="00610407" w:rsidRPr="00610407" w:rsidRDefault="00610407" w:rsidP="0061040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закономерности возникновения и протекания химических реакций (энергетика, скорость, катализ, химическое равновесие);</w:t>
      </w:r>
    </w:p>
    <w:p w:rsidR="00610407" w:rsidRPr="00610407" w:rsidRDefault="00610407" w:rsidP="0061040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количественные характеристики химических реакций (соотношения веществ, термохимические расчёты, проявление закона сохранения массы веществ);</w:t>
      </w:r>
    </w:p>
    <w:p w:rsidR="00610407" w:rsidRPr="00610407" w:rsidRDefault="00610407" w:rsidP="0061040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классификация химических реакций;</w:t>
      </w:r>
    </w:p>
    <w:p w:rsidR="00610407" w:rsidRPr="00610407" w:rsidRDefault="00610407" w:rsidP="0061040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практическое использование химических реакций;</w:t>
      </w:r>
    </w:p>
    <w:p w:rsidR="00610407" w:rsidRPr="00610407" w:rsidRDefault="00610407" w:rsidP="0061040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методы исследования химических реакций.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В данной системе понятий особого внимания заслуживает классификация химических реакций, подробно разработанная Т. З. Савич (таблица).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химических реакций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  <w:gridCol w:w="3120"/>
        <w:gridCol w:w="3120"/>
      </w:tblGrid>
      <w:tr w:rsidR="00610407" w:rsidRPr="00610407" w:rsidTr="00610407">
        <w:trPr>
          <w:tblCellSpacing w:w="15" w:type="dxa"/>
        </w:trPr>
        <w:tc>
          <w:tcPr>
            <w:tcW w:w="307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090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реакций</w:t>
            </w:r>
          </w:p>
        </w:tc>
        <w:tc>
          <w:tcPr>
            <w:tcW w:w="307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реакций</w:t>
            </w:r>
          </w:p>
        </w:tc>
      </w:tr>
      <w:tr w:rsidR="00610407" w:rsidRPr="00610407" w:rsidTr="00610407">
        <w:trPr>
          <w:tblCellSpacing w:w="15" w:type="dxa"/>
        </w:trPr>
        <w:tc>
          <w:tcPr>
            <w:tcW w:w="3075" w:type="dxa"/>
            <w:vMerge w:val="restart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состояние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реагирующей системы</w:t>
            </w:r>
          </w:p>
        </w:tc>
        <w:tc>
          <w:tcPr>
            <w:tcW w:w="3090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Гомогенные</w:t>
            </w:r>
          </w:p>
        </w:tc>
        <w:tc>
          <w:tcPr>
            <w:tcW w:w="307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азота 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с кислородом</w:t>
            </w:r>
          </w:p>
        </w:tc>
      </w:tr>
      <w:tr w:rsidR="00610407" w:rsidRPr="00610407" w:rsidTr="006104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0407" w:rsidRPr="00610407" w:rsidRDefault="00610407" w:rsidP="0061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Гетерогенные</w:t>
            </w:r>
          </w:p>
        </w:tc>
        <w:tc>
          <w:tcPr>
            <w:tcW w:w="307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оксида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кальция с оксидом 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углерода (IV)</w:t>
            </w:r>
          </w:p>
        </w:tc>
      </w:tr>
      <w:tr w:rsidR="00610407" w:rsidRPr="00610407" w:rsidTr="00610407">
        <w:trPr>
          <w:tblCellSpacing w:w="15" w:type="dxa"/>
        </w:trPr>
        <w:tc>
          <w:tcPr>
            <w:tcW w:w="3075" w:type="dxa"/>
            <w:vMerge w:val="restart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восстановительного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3090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восстановительные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</w:t>
            </w:r>
          </w:p>
        </w:tc>
        <w:tc>
          <w:tcPr>
            <w:tcW w:w="307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цинка 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с соляной кислотой</w:t>
            </w:r>
          </w:p>
        </w:tc>
      </w:tr>
      <w:tr w:rsidR="00610407" w:rsidRPr="00610407" w:rsidTr="006104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0407" w:rsidRPr="00610407" w:rsidRDefault="00610407" w:rsidP="0061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Реакции, в которых 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окислительно-восстано</w:t>
            </w:r>
            <w:proofErr w:type="spellEnd"/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вительный</w:t>
            </w:r>
            <w:proofErr w:type="spellEnd"/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 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07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карбоната кальция с образованием оксида кальция и оксида углерода (IV)</w:t>
            </w:r>
          </w:p>
        </w:tc>
      </w:tr>
      <w:tr w:rsidR="00610407" w:rsidRPr="00610407" w:rsidTr="00610407">
        <w:trPr>
          <w:tblCellSpacing w:w="15" w:type="dxa"/>
        </w:trPr>
        <w:tc>
          <w:tcPr>
            <w:tcW w:w="3075" w:type="dxa"/>
            <w:vMerge w:val="restart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катализатора</w:t>
            </w:r>
          </w:p>
        </w:tc>
        <w:tc>
          <w:tcPr>
            <w:tcW w:w="3090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Каталитические</w:t>
            </w:r>
          </w:p>
        </w:tc>
        <w:tc>
          <w:tcPr>
            <w:tcW w:w="307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азота с водородом</w:t>
            </w:r>
          </w:p>
        </w:tc>
      </w:tr>
      <w:tr w:rsidR="00610407" w:rsidRPr="00610407" w:rsidTr="006104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0407" w:rsidRPr="00610407" w:rsidRDefault="00610407" w:rsidP="0061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Некаталитические</w:t>
            </w:r>
          </w:p>
        </w:tc>
        <w:tc>
          <w:tcPr>
            <w:tcW w:w="307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оксида серы (IV) с водой</w:t>
            </w:r>
          </w:p>
        </w:tc>
      </w:tr>
      <w:tr w:rsidR="00610407" w:rsidRPr="00610407" w:rsidTr="00610407">
        <w:trPr>
          <w:tblCellSpacing w:w="15" w:type="dxa"/>
        </w:trPr>
        <w:tc>
          <w:tcPr>
            <w:tcW w:w="3075" w:type="dxa"/>
            <w:vMerge w:val="restart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Обратимость реакции</w:t>
            </w:r>
          </w:p>
        </w:tc>
        <w:tc>
          <w:tcPr>
            <w:tcW w:w="3090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Обратимые </w:t>
            </w:r>
          </w:p>
        </w:tc>
        <w:tc>
          <w:tcPr>
            <w:tcW w:w="307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оксида серы (IV) с водой</w:t>
            </w:r>
          </w:p>
        </w:tc>
      </w:tr>
      <w:tr w:rsidR="00610407" w:rsidRPr="00610407" w:rsidTr="006104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0407" w:rsidRPr="00610407" w:rsidRDefault="00610407" w:rsidP="0061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Необратимые</w:t>
            </w:r>
          </w:p>
        </w:tc>
        <w:tc>
          <w:tcPr>
            <w:tcW w:w="307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дихромата аммония</w:t>
            </w:r>
          </w:p>
        </w:tc>
      </w:tr>
      <w:tr w:rsidR="00610407" w:rsidRPr="00610407" w:rsidTr="00610407">
        <w:trPr>
          <w:tblCellSpacing w:w="15" w:type="dxa"/>
        </w:trPr>
        <w:tc>
          <w:tcPr>
            <w:tcW w:w="3075" w:type="dxa"/>
            <w:vMerge w:val="restart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Энергетический эффект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</w:t>
            </w:r>
          </w:p>
        </w:tc>
        <w:tc>
          <w:tcPr>
            <w:tcW w:w="3090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Экзотермические</w:t>
            </w:r>
          </w:p>
        </w:tc>
        <w:tc>
          <w:tcPr>
            <w:tcW w:w="307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Горение магния</w:t>
            </w:r>
          </w:p>
        </w:tc>
      </w:tr>
      <w:tr w:rsidR="00610407" w:rsidRPr="00610407" w:rsidTr="006104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0407" w:rsidRPr="00610407" w:rsidRDefault="00610407" w:rsidP="0061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Эндотермические</w:t>
            </w:r>
          </w:p>
        </w:tc>
        <w:tc>
          <w:tcPr>
            <w:tcW w:w="307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оксида ртути (II)</w:t>
            </w:r>
          </w:p>
        </w:tc>
      </w:tr>
      <w:tr w:rsidR="00610407" w:rsidRPr="00610407" w:rsidTr="00610407">
        <w:trPr>
          <w:tblCellSpacing w:w="15" w:type="dxa"/>
        </w:trPr>
        <w:tc>
          <w:tcPr>
            <w:tcW w:w="3075" w:type="dxa"/>
            <w:vMerge w:val="restart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числа исходных и полученных веществ</w:t>
            </w:r>
          </w:p>
        </w:tc>
        <w:tc>
          <w:tcPr>
            <w:tcW w:w="3090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</w:t>
            </w:r>
          </w:p>
        </w:tc>
        <w:tc>
          <w:tcPr>
            <w:tcW w:w="307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оксида кальция с водой</w:t>
            </w:r>
          </w:p>
        </w:tc>
      </w:tr>
      <w:tr w:rsidR="00610407" w:rsidRPr="00610407" w:rsidTr="006104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0407" w:rsidRPr="00610407" w:rsidRDefault="00610407" w:rsidP="0061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Разложение </w:t>
            </w:r>
          </w:p>
        </w:tc>
        <w:tc>
          <w:tcPr>
            <w:tcW w:w="307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малахита</w:t>
            </w:r>
          </w:p>
        </w:tc>
      </w:tr>
      <w:tr w:rsidR="00610407" w:rsidRPr="00610407" w:rsidTr="006104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0407" w:rsidRPr="00610407" w:rsidRDefault="00610407" w:rsidP="0061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Замещение</w:t>
            </w:r>
          </w:p>
        </w:tc>
        <w:tc>
          <w:tcPr>
            <w:tcW w:w="307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железа и хлорида меди (II)</w:t>
            </w:r>
          </w:p>
        </w:tc>
      </w:tr>
      <w:tr w:rsidR="00610407" w:rsidRPr="00610407" w:rsidTr="006104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0407" w:rsidRPr="00610407" w:rsidRDefault="00610407" w:rsidP="0061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</w:t>
            </w:r>
          </w:p>
        </w:tc>
        <w:tc>
          <w:tcPr>
            <w:tcW w:w="307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нитрата</w:t>
            </w:r>
          </w:p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серебра и хлорида натрия</w:t>
            </w:r>
          </w:p>
        </w:tc>
      </w:tr>
      <w:tr w:rsidR="00610407" w:rsidRPr="00610407" w:rsidTr="00610407">
        <w:trPr>
          <w:tblCellSpacing w:w="15" w:type="dxa"/>
        </w:trPr>
        <w:tc>
          <w:tcPr>
            <w:tcW w:w="3075" w:type="dxa"/>
            <w:vMerge w:val="restart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Реакции, протекающие без изменения качественного состава простых и сложных веществ</w:t>
            </w:r>
          </w:p>
        </w:tc>
        <w:tc>
          <w:tcPr>
            <w:tcW w:w="3090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Аллотропные</w:t>
            </w:r>
            <w:proofErr w:type="spellEnd"/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превращения</w:t>
            </w:r>
          </w:p>
        </w:tc>
        <w:tc>
          <w:tcPr>
            <w:tcW w:w="307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кислорода в озон</w:t>
            </w:r>
          </w:p>
        </w:tc>
      </w:tr>
      <w:tr w:rsidR="00610407" w:rsidRPr="00610407" w:rsidTr="006104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0407" w:rsidRPr="00610407" w:rsidRDefault="00610407" w:rsidP="0061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Изомеризация </w:t>
            </w:r>
          </w:p>
        </w:tc>
        <w:tc>
          <w:tcPr>
            <w:tcW w:w="3075" w:type="dxa"/>
            <w:hideMark/>
          </w:tcPr>
          <w:p w:rsidR="00610407" w:rsidRPr="00610407" w:rsidRDefault="00610407" w:rsidP="00610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0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одного изомера из другого</w:t>
            </w:r>
          </w:p>
        </w:tc>
      </w:tr>
    </w:tbl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Такая обобщённая таблица формирует у учащихся определённый кругозор, способствует пониманию ими химических реакций. К такой классификации учащиеся приходят в конце обучения постепенно и последовательно.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Во всех случаях следует иметь в виду, что содержание школьного курса химии, в том числе и профильного, не должно сводиться к переносу в школу вузовского курса химии. На данном этапе мыслительный аппарат школьника ещё недостаточно сформирован и к такому варианту не подготовлен. Кроме того, выбор содержания зависит от условий работы школы, особенностей контингента учащихся и некоторых других факторов, определяемых социальным заказом общества.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На основании прочитанного попробуйте проверить себя, своё понимание.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</w:t>
      </w:r>
    </w:p>
    <w:p w:rsidR="00610407" w:rsidRPr="00610407" w:rsidRDefault="00610407" w:rsidP="006104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Докажите, что курс органической химии в средней школе построен с ориентацией на формирование и развитие системы понятий о веществе.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Примерный ответ</w:t>
      </w:r>
      <w:r w:rsidRPr="00610407">
        <w:rPr>
          <w:rFonts w:ascii="Times New Roman" w:eastAsia="Times New Roman" w:hAnsi="Times New Roman" w:cs="Times New Roman"/>
          <w:sz w:val="24"/>
          <w:szCs w:val="24"/>
        </w:rPr>
        <w:t>. Курс органической химии изучается последовательно от углеводородов к кислородсодержащим и к азотсодержащим органическим веществам, в том числе и к жизненно важным: жирам, углеводам и белкам. При этом прослеживается изменение в строении углеродного скелета и усложнение строения функциональных групп. Химические реакции отражают свойства этих веществ в зависимости от их состава и строения. Из этого можно заключить, что курс органической химии ориентирован на формирование и развитие системы понятий о веществе.</w:t>
      </w:r>
    </w:p>
    <w:p w:rsidR="00610407" w:rsidRPr="00610407" w:rsidRDefault="00610407" w:rsidP="006104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Постарайтесь раскрыть последовательность формирования каждого блока понятий о химическом элементе на примере реализуемого вами курса химии.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Примерный ответ.</w:t>
      </w:r>
      <w:r w:rsidRPr="00610407">
        <w:rPr>
          <w:rFonts w:ascii="Times New Roman" w:eastAsia="Times New Roman" w:hAnsi="Times New Roman" w:cs="Times New Roman"/>
          <w:sz w:val="24"/>
          <w:szCs w:val="24"/>
        </w:rPr>
        <w:t xml:space="preserve"> Система понятий о химическом элементе включает три блока: атомы химических элементов, классификация химических элементов и круговорот элементов в природе.</w:t>
      </w:r>
    </w:p>
    <w:p w:rsidR="00610407" w:rsidRPr="00610407" w:rsidRDefault="00610407" w:rsidP="00610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07">
        <w:rPr>
          <w:rFonts w:ascii="Times New Roman" w:eastAsia="Times New Roman" w:hAnsi="Times New Roman" w:cs="Times New Roman"/>
          <w:sz w:val="24"/>
          <w:szCs w:val="24"/>
        </w:rPr>
        <w:t>Сначала атом химического элемента рассматривается как химически неделимая частица, имеющая массу, затем изучается внутриатомное строение. Классификация химических элементов вначале ограничивается делением на металлы и неметаллы, затем выделяются элементы с двойственными свойствами, и в завершение следует изучение периодического закона и периодической системы элементов Д. И. Менделеева. Периодическая система – это высшее обобщение знаний о химических элементах. Распространённость элементов в природе и их круговорот раскрываются по мере изучения соответствующих им простых веществ.</w:t>
      </w:r>
    </w:p>
    <w:p w:rsidR="00733501" w:rsidRPr="00610407" w:rsidRDefault="00733501" w:rsidP="00610407">
      <w:pPr>
        <w:rPr>
          <w:szCs w:val="24"/>
        </w:rPr>
      </w:pPr>
    </w:p>
    <w:sectPr w:rsidR="00733501" w:rsidRPr="00610407" w:rsidSect="0035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605"/>
    <w:multiLevelType w:val="multilevel"/>
    <w:tmpl w:val="03286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106F7"/>
    <w:multiLevelType w:val="multilevel"/>
    <w:tmpl w:val="B09A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B02D6"/>
    <w:multiLevelType w:val="multilevel"/>
    <w:tmpl w:val="C5B2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25894"/>
    <w:multiLevelType w:val="multilevel"/>
    <w:tmpl w:val="DC90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9019F"/>
    <w:multiLevelType w:val="multilevel"/>
    <w:tmpl w:val="A9D0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40139"/>
    <w:multiLevelType w:val="multilevel"/>
    <w:tmpl w:val="1916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017F6"/>
    <w:multiLevelType w:val="multilevel"/>
    <w:tmpl w:val="E358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501"/>
    <w:rsid w:val="003556EF"/>
    <w:rsid w:val="00610407"/>
    <w:rsid w:val="0073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3501"/>
    <w:rPr>
      <w:b/>
      <w:bCs/>
    </w:rPr>
  </w:style>
  <w:style w:type="character" w:styleId="a5">
    <w:name w:val="Hyperlink"/>
    <w:basedOn w:val="a0"/>
    <w:uiPriority w:val="99"/>
    <w:semiHidden/>
    <w:unhideWhenUsed/>
    <w:rsid w:val="007335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1704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2016-10-11T06:36:00Z</dcterms:created>
  <dcterms:modified xsi:type="dcterms:W3CDTF">2016-10-11T06:39:00Z</dcterms:modified>
</cp:coreProperties>
</file>